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239D" w:rsidRPr="00FA0E66" w:rsidRDefault="0004239D" w:rsidP="0004239D">
      <w:pPr>
        <w:rPr>
          <w:rFonts w:ascii="Cambria" w:hAnsi="Cambria" w:cs="Tahoma"/>
          <w:b/>
          <w:bCs/>
          <w:noProof/>
          <w:sz w:val="28"/>
          <w:szCs w:val="28"/>
          <w:lang w:val="el-GR"/>
        </w:rPr>
      </w:pPr>
      <w:r w:rsidRPr="00FA0E66">
        <w:rPr>
          <w:rFonts w:ascii="Cambria" w:hAnsi="Cambria" w:cs="Tahoma"/>
          <w:b/>
          <w:bCs/>
          <w:noProof/>
          <w:sz w:val="28"/>
          <w:szCs w:val="28"/>
        </w:rPr>
        <w:t>E</w:t>
      </w:r>
      <w:r w:rsidRPr="00FA0E66">
        <w:rPr>
          <w:rFonts w:ascii="Cambria" w:hAnsi="Cambria" w:cs="Tahoma"/>
          <w:b/>
          <w:bCs/>
          <w:noProof/>
          <w:sz w:val="28"/>
          <w:szCs w:val="28"/>
          <w:lang w:val="el-GR"/>
        </w:rPr>
        <w:t>νδεικτική βιβλιογραφία για γραμματισμό στα ΜΜΕ</w:t>
      </w:r>
    </w:p>
    <w:p w:rsidR="0004239D" w:rsidRPr="0004239D" w:rsidRDefault="0004239D" w:rsidP="00F84B27">
      <w:pPr>
        <w:jc w:val="both"/>
        <w:rPr>
          <w:rFonts w:ascii="Tahoma" w:hAnsi="Tahoma" w:cs="Tahoma"/>
          <w:noProof/>
          <w:sz w:val="22"/>
          <w:szCs w:val="22"/>
          <w:lang w:val="el-GR"/>
        </w:rPr>
      </w:pPr>
    </w:p>
    <w:p w:rsidR="00155383" w:rsidRPr="0004239D" w:rsidRDefault="00155383" w:rsidP="00F84B27">
      <w:pPr>
        <w:jc w:val="both"/>
        <w:rPr>
          <w:rFonts w:ascii="Tahoma" w:hAnsi="Tahoma" w:cs="Tahoma"/>
          <w:noProof/>
          <w:sz w:val="22"/>
          <w:szCs w:val="22"/>
          <w:lang w:val="el-GR"/>
        </w:rPr>
      </w:pPr>
    </w:p>
    <w:p w:rsidR="00155383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Barr R., and Linebarger N. D. (eds) (2017) Media exposure during infancy and early childhood. The effects of content and context on learning and development. Switzerland: Springer. 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BBC School Report, </w:t>
      </w:r>
      <w:hyperlink r:id="rId7" w:history="1">
        <w:r w:rsidRPr="00804B6F">
          <w:rPr>
            <w:rStyle w:val="-"/>
            <w:rFonts w:ascii="Cambria" w:hAnsi="Cambria" w:cs="Tahoma"/>
            <w:noProof/>
          </w:rPr>
          <w:t>http://news.bbc.co.uk/2/hi/school_report</w:t>
        </w:r>
      </w:hyperlink>
      <w:r w:rsidRPr="00155383">
        <w:rPr>
          <w:rFonts w:ascii="Cambria" w:hAnsi="Cambria" w:cs="Tahoma"/>
          <w:noProof/>
        </w:rPr>
        <w:t xml:space="preserve"> </w:t>
      </w:r>
      <w:r w:rsidRPr="009444E6">
        <w:rPr>
          <w:rFonts w:ascii="Cambria" w:hAnsi="Cambria" w:cs="Tahoma"/>
          <w:noProof/>
        </w:rPr>
        <w:t>, Accessed 12/8/2017.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>Buckingham D. (2007) Digital Media Literacies: rethinking media education in the age of the Internet, Research in Comparative and International Education, Volume 2, Number 1.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Davou, B. &amp;Nika, V. (2007) “Implementation and Evaluation of a Media Literacy Training Programme for Greek Elementary School Teachers”, Communicar: La EducacionenMediosen Europa 5, 28. 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Drotner K. &amp; Livingstone S. (eds) (2008) The international handbook of children, media and culture. London: Sage.  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Funk  S. , Kellner D., Share J.(2016) Critical media literacy as transformative pedagogy in Yildiz M. &amp;Keengwe J. Handbook of research on media literacy in the digital age, Information Science  Reference. 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Hobbs, R. (1998), The Seven Great Debates in the Media Literacy Movement, Journal of Communication, 48(1). 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>Kellner, D., &amp; Share, J. (2007). Critical media literacy, democracy, and the reconstruction of education. In D. Macedo&amp; S.R. Steinberg (Eds.), Media literacy: A reader (pp. 3-23). NewYork: PeterLangPublishing.</w:t>
      </w:r>
    </w:p>
    <w:p w:rsidR="00155383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Klurfeld J. and SchneiderH. (2014) News Literacy: Teaching the Internet Generation to Make Reliable Information Choices, Center for Effective Public Management at Brookings, p .1-25, Accessed on 13/8/2017 at: </w:t>
      </w:r>
      <w:hyperlink r:id="rId8" w:history="1">
        <w:r w:rsidRPr="00804B6F">
          <w:rPr>
            <w:rStyle w:val="-"/>
            <w:rFonts w:ascii="Cambria" w:hAnsi="Cambria" w:cs="Tahoma"/>
            <w:noProof/>
          </w:rPr>
          <w:t>https://www.brookings.edu/wp-content/uploads/2016/07/Klurfeld-Schneider_News-Literacy_June-2014.pdf</w:t>
        </w:r>
      </w:hyperlink>
    </w:p>
    <w:p w:rsidR="00155383" w:rsidRDefault="00155383" w:rsidP="006B0EBB">
      <w:pPr>
        <w:pStyle w:val="a3"/>
        <w:numPr>
          <w:ilvl w:val="0"/>
          <w:numId w:val="4"/>
        </w:numPr>
        <w:spacing w:line="360" w:lineRule="auto"/>
        <w:jc w:val="both"/>
        <w:rPr>
          <w:color w:val="000000" w:themeColor="text1"/>
        </w:rPr>
      </w:pPr>
      <w:proofErr w:type="spellStart"/>
      <w:r w:rsidRPr="006B0EBB">
        <w:rPr>
          <w:color w:val="000000" w:themeColor="text1"/>
        </w:rPr>
        <w:t>Koliouli</w:t>
      </w:r>
      <w:proofErr w:type="spellEnd"/>
      <w:r w:rsidRPr="006B0EBB">
        <w:rPr>
          <w:color w:val="000000" w:themeColor="text1"/>
        </w:rPr>
        <w:t xml:space="preserve">, F., &amp; </w:t>
      </w:r>
      <w:proofErr w:type="spellStart"/>
      <w:r w:rsidRPr="006B0EBB">
        <w:rPr>
          <w:color w:val="000000" w:themeColor="text1"/>
        </w:rPr>
        <w:t>Theodosiadou</w:t>
      </w:r>
      <w:proofErr w:type="spellEnd"/>
      <w:r w:rsidRPr="006B0EBB">
        <w:rPr>
          <w:color w:val="000000" w:themeColor="text1"/>
        </w:rPr>
        <w:t>, S. (2026). Exploring the associations between coparenting alliance, parental sense of competence, and reported screen use culture: Screen time, co-viewing, and behaviors in preschool children in Greece. </w:t>
      </w:r>
      <w:r w:rsidRPr="006B0EBB">
        <w:rPr>
          <w:i/>
          <w:iCs/>
          <w:color w:val="000000" w:themeColor="text1"/>
        </w:rPr>
        <w:t>Journal of Early Childhood Research</w:t>
      </w:r>
      <w:r w:rsidRPr="006B0EBB">
        <w:rPr>
          <w:color w:val="000000" w:themeColor="text1"/>
        </w:rPr>
        <w:t>, 1476718X251408400.</w:t>
      </w:r>
    </w:p>
    <w:p w:rsidR="00155383" w:rsidRPr="003B58D9" w:rsidRDefault="00155383" w:rsidP="00956486">
      <w:pPr>
        <w:pStyle w:val="a7"/>
        <w:numPr>
          <w:ilvl w:val="0"/>
          <w:numId w:val="4"/>
        </w:numPr>
        <w:spacing w:line="360" w:lineRule="auto"/>
        <w:jc w:val="both"/>
        <w:rPr>
          <w:rFonts w:ascii="Cambria" w:eastAsiaTheme="minorHAnsi" w:hAnsi="Cambria"/>
          <w:color w:val="000000" w:themeColor="text1"/>
        </w:rPr>
      </w:pPr>
      <w:proofErr w:type="spellStart"/>
      <w:r w:rsidRPr="003B58D9">
        <w:rPr>
          <w:rFonts w:ascii="Cambria" w:eastAsiaTheme="minorHAnsi" w:hAnsi="Cambria"/>
          <w:color w:val="000000" w:themeColor="text1"/>
        </w:rPr>
        <w:lastRenderedPageBreak/>
        <w:t>Lauricella</w:t>
      </w:r>
      <w:proofErr w:type="spellEnd"/>
      <w:r w:rsidRPr="003B58D9">
        <w:rPr>
          <w:rFonts w:ascii="Cambria" w:eastAsiaTheme="minorHAnsi" w:hAnsi="Cambria"/>
          <w:color w:val="000000" w:themeColor="text1"/>
        </w:rPr>
        <w:t xml:space="preserve">, A. R., &amp; </w:t>
      </w:r>
      <w:proofErr w:type="spellStart"/>
      <w:r w:rsidRPr="003B58D9">
        <w:rPr>
          <w:rFonts w:ascii="Cambria" w:eastAsiaTheme="minorHAnsi" w:hAnsi="Cambria"/>
          <w:color w:val="000000" w:themeColor="text1"/>
        </w:rPr>
        <w:t>Cingel</w:t>
      </w:r>
      <w:proofErr w:type="spellEnd"/>
      <w:r w:rsidRPr="003B58D9">
        <w:rPr>
          <w:rFonts w:ascii="Cambria" w:eastAsiaTheme="minorHAnsi" w:hAnsi="Cambria"/>
          <w:color w:val="000000" w:themeColor="text1"/>
        </w:rPr>
        <w:t xml:space="preserve">, D. P. (2020). Parental Influence on Youth Media Use. </w:t>
      </w:r>
      <w:r w:rsidRPr="003B58D9">
        <w:rPr>
          <w:rFonts w:ascii="Cambria" w:eastAsiaTheme="minorHAnsi" w:hAnsi="Cambria"/>
          <w:i/>
          <w:iCs/>
          <w:color w:val="000000" w:themeColor="text1"/>
        </w:rPr>
        <w:t>Journal of Child and Family Studies</w:t>
      </w:r>
      <w:r w:rsidRPr="003B58D9">
        <w:rPr>
          <w:rFonts w:ascii="Cambria" w:eastAsiaTheme="minorHAnsi" w:hAnsi="Cambria"/>
          <w:color w:val="000000" w:themeColor="text1"/>
        </w:rPr>
        <w:t xml:space="preserve">, </w:t>
      </w:r>
      <w:r w:rsidRPr="003B58D9">
        <w:rPr>
          <w:rFonts w:ascii="Cambria" w:eastAsiaTheme="minorHAnsi" w:hAnsi="Cambria"/>
          <w:i/>
          <w:iCs/>
          <w:color w:val="000000" w:themeColor="text1"/>
        </w:rPr>
        <w:t>29</w:t>
      </w:r>
      <w:r w:rsidRPr="003B58D9">
        <w:rPr>
          <w:rFonts w:ascii="Cambria" w:eastAsiaTheme="minorHAnsi" w:hAnsi="Cambria"/>
          <w:color w:val="000000" w:themeColor="text1"/>
        </w:rPr>
        <w:t xml:space="preserve">(7), 1927–1937. </w:t>
      </w:r>
      <w:hyperlink r:id="rId9" w:history="1">
        <w:r w:rsidRPr="00804B6F">
          <w:rPr>
            <w:rStyle w:val="-"/>
            <w:rFonts w:ascii="Cambria" w:eastAsiaTheme="minorHAnsi" w:hAnsi="Cambria"/>
          </w:rPr>
          <w:t>https://doi.org/10.1007/s10826-020-01724-2</w:t>
        </w:r>
      </w:hyperlink>
      <w:r>
        <w:rPr>
          <w:rFonts w:ascii="Cambria" w:eastAsiaTheme="minorHAnsi" w:hAnsi="Cambria"/>
          <w:color w:val="000000" w:themeColor="text1"/>
          <w:lang w:val="el-GR"/>
        </w:rPr>
        <w:t xml:space="preserve"> 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Livingstone S. Haddon L. (2009) Kids online. Opportunities and risks for children. Bristol: Polity Press. </w:t>
      </w:r>
    </w:p>
    <w:p w:rsidR="00155383" w:rsidRPr="009444E6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Mihailidis P. (2009) The First Step is the Hardest: Finding Connections in Media Literacy Education. The National Association for Media Literacy Education’s, Journal of Media Literacy Education 1: 53-67 </w:t>
      </w:r>
    </w:p>
    <w:p w:rsidR="00155383" w:rsidRDefault="00155383" w:rsidP="00F84B27">
      <w:pPr>
        <w:pStyle w:val="a3"/>
        <w:numPr>
          <w:ilvl w:val="0"/>
          <w:numId w:val="4"/>
        </w:numPr>
        <w:spacing w:line="360" w:lineRule="auto"/>
        <w:jc w:val="both"/>
        <w:rPr>
          <w:rFonts w:ascii="Cambria" w:hAnsi="Cambria" w:cs="Tahoma"/>
          <w:noProof/>
        </w:rPr>
      </w:pPr>
      <w:r w:rsidRPr="009444E6">
        <w:rPr>
          <w:rFonts w:ascii="Cambria" w:hAnsi="Cambria" w:cs="Tahoma"/>
          <w:noProof/>
        </w:rPr>
        <w:t xml:space="preserve">Panagiotou N. &amp; Theodosiadou S. (2014)“NewLiteracy: Learning about the world ”Journal  of Digital Literacy,  available at </w:t>
      </w:r>
      <w:hyperlink r:id="rId10" w:history="1">
        <w:r w:rsidRPr="00804B6F">
          <w:rPr>
            <w:rStyle w:val="-"/>
            <w:rFonts w:ascii="Cambria" w:hAnsi="Cambria" w:cs="Tahoma"/>
            <w:noProof/>
          </w:rPr>
          <w:t>http://www.jodml.org/author/sofiat/</w:t>
        </w:r>
      </w:hyperlink>
      <w:r w:rsidRPr="00155383">
        <w:rPr>
          <w:rFonts w:ascii="Cambria" w:hAnsi="Cambria" w:cs="Tahoma"/>
          <w:noProof/>
        </w:rPr>
        <w:t xml:space="preserve"> </w:t>
      </w:r>
    </w:p>
    <w:p w:rsidR="009B7B14" w:rsidRPr="00883F9D" w:rsidRDefault="009B7B14" w:rsidP="00883F9D">
      <w:pPr>
        <w:pStyle w:val="a7"/>
        <w:numPr>
          <w:ilvl w:val="0"/>
          <w:numId w:val="4"/>
        </w:numPr>
        <w:spacing w:line="360" w:lineRule="auto"/>
        <w:jc w:val="both"/>
        <w:rPr>
          <w:rFonts w:ascii="Cambria" w:eastAsiaTheme="minorHAnsi" w:hAnsi="Cambria"/>
          <w:color w:val="000000" w:themeColor="text1"/>
        </w:rPr>
      </w:pPr>
      <w:r w:rsidRPr="009B7B14">
        <w:rPr>
          <w:rFonts w:ascii="Cambria" w:eastAsiaTheme="minorHAnsi" w:hAnsi="Cambria"/>
          <w:color w:val="000000" w:themeColor="text1"/>
        </w:rPr>
        <w:t xml:space="preserve">Plowman, L., McPake, J., &amp; Stephen, C. (2010). The </w:t>
      </w:r>
      <w:proofErr w:type="spellStart"/>
      <w:r w:rsidRPr="009B7B14">
        <w:rPr>
          <w:rFonts w:ascii="Cambria" w:eastAsiaTheme="minorHAnsi" w:hAnsi="Cambria"/>
          <w:color w:val="000000" w:themeColor="text1"/>
        </w:rPr>
        <w:t>Technologisation</w:t>
      </w:r>
      <w:proofErr w:type="spellEnd"/>
      <w:r w:rsidRPr="009B7B14">
        <w:rPr>
          <w:rFonts w:ascii="Cambria" w:eastAsiaTheme="minorHAnsi" w:hAnsi="Cambria"/>
          <w:color w:val="000000" w:themeColor="text1"/>
        </w:rPr>
        <w:t xml:space="preserve"> of Childhood? Young Children and Technology in the Home. </w:t>
      </w:r>
      <w:r w:rsidRPr="009B7B14">
        <w:rPr>
          <w:rFonts w:ascii="Cambria" w:eastAsiaTheme="minorHAnsi" w:hAnsi="Cambria"/>
          <w:i/>
          <w:iCs/>
          <w:color w:val="000000" w:themeColor="text1"/>
        </w:rPr>
        <w:t>Children &amp; Society</w:t>
      </w:r>
      <w:r w:rsidRPr="009B7B14">
        <w:rPr>
          <w:rFonts w:ascii="Cambria" w:eastAsiaTheme="minorHAnsi" w:hAnsi="Cambria"/>
          <w:color w:val="000000" w:themeColor="text1"/>
        </w:rPr>
        <w:t xml:space="preserve">, </w:t>
      </w:r>
      <w:r w:rsidRPr="009B7B14">
        <w:rPr>
          <w:rFonts w:ascii="Cambria" w:eastAsiaTheme="minorHAnsi" w:hAnsi="Cambria"/>
          <w:i/>
          <w:iCs/>
          <w:color w:val="000000" w:themeColor="text1"/>
        </w:rPr>
        <w:t>24</w:t>
      </w:r>
      <w:r w:rsidRPr="009B7B14">
        <w:rPr>
          <w:rFonts w:ascii="Cambria" w:eastAsiaTheme="minorHAnsi" w:hAnsi="Cambria"/>
          <w:color w:val="000000" w:themeColor="text1"/>
        </w:rPr>
        <w:t xml:space="preserve">(1), 63–74. </w:t>
      </w:r>
      <w:hyperlink r:id="rId11" w:history="1">
        <w:r w:rsidRPr="009B7B14">
          <w:rPr>
            <w:rStyle w:val="-"/>
            <w:rFonts w:ascii="Cambria" w:eastAsiaTheme="minorHAnsi" w:hAnsi="Cambria"/>
          </w:rPr>
          <w:t>https://doi.org/10.1111/j.1099-0860.2008.00180.x</w:t>
        </w:r>
      </w:hyperlink>
      <w:r w:rsidRPr="009B7B14">
        <w:rPr>
          <w:rFonts w:ascii="Cambria" w:eastAsiaTheme="minorHAnsi" w:hAnsi="Cambria"/>
          <w:color w:val="000000" w:themeColor="text1"/>
          <w:lang w:val="el-GR"/>
        </w:rPr>
        <w:t xml:space="preserve"> </w:t>
      </w:r>
    </w:p>
    <w:p w:rsidR="00155383" w:rsidRPr="00D314C4" w:rsidRDefault="00155383" w:rsidP="00FB45EE">
      <w:pPr>
        <w:numPr>
          <w:ilvl w:val="0"/>
          <w:numId w:val="4"/>
        </w:numPr>
        <w:spacing w:after="204" w:line="360" w:lineRule="auto"/>
        <w:ind w:right="46"/>
        <w:jc w:val="both"/>
        <w:rPr>
          <w:rFonts w:ascii="Cambria" w:hAnsi="Cambria" w:cstheme="minorHAnsi"/>
        </w:rPr>
      </w:pPr>
      <w:proofErr w:type="spellStart"/>
      <w:r w:rsidRPr="00B345B3">
        <w:rPr>
          <w:rFonts w:ascii="Cambria" w:hAnsi="Cambria"/>
          <w:color w:val="222222"/>
          <w:shd w:val="clear" w:color="auto" w:fill="FFFFFF"/>
        </w:rPr>
        <w:t>Theodosiadou</w:t>
      </w:r>
      <w:proofErr w:type="spellEnd"/>
      <w:r w:rsidRPr="00B345B3">
        <w:rPr>
          <w:rFonts w:ascii="Cambria" w:hAnsi="Cambria"/>
          <w:color w:val="222222"/>
          <w:shd w:val="clear" w:color="auto" w:fill="FFFFFF"/>
        </w:rPr>
        <w:t>, S.</w:t>
      </w:r>
      <w:r w:rsidRPr="00B345B3">
        <w:rPr>
          <w:rFonts w:ascii="Cambria" w:hAnsi="Cambria"/>
          <w:b/>
          <w:bCs/>
          <w:color w:val="222222"/>
          <w:shd w:val="clear" w:color="auto" w:fill="FFFFFF"/>
        </w:rPr>
        <w:t xml:space="preserve"> </w:t>
      </w:r>
      <w:r w:rsidRPr="00C174B7">
        <w:rPr>
          <w:rFonts w:ascii="Cambria" w:hAnsi="Cambria"/>
          <w:color w:val="222222"/>
          <w:shd w:val="clear" w:color="auto" w:fill="FFFFFF"/>
        </w:rPr>
        <w:t>(2025)</w:t>
      </w:r>
      <w:r w:rsidRPr="00B345B3">
        <w:rPr>
          <w:rFonts w:ascii="Cambria" w:hAnsi="Cambria"/>
          <w:b/>
          <w:bCs/>
          <w:color w:val="222222"/>
          <w:shd w:val="clear" w:color="auto" w:fill="FFFFFF"/>
        </w:rPr>
        <w:t xml:space="preserve"> </w:t>
      </w:r>
      <w:r w:rsidRPr="00B345B3">
        <w:rPr>
          <w:rFonts w:ascii="Cambria" w:hAnsi="Cambria"/>
          <w:color w:val="222222"/>
          <w:shd w:val="clear" w:color="auto" w:fill="FFFFFF"/>
        </w:rPr>
        <w:t>Podcasting and media literacy: a case study of preschool education students as media makers.</w:t>
      </w:r>
      <w:r w:rsidRPr="00B345B3">
        <w:rPr>
          <w:rStyle w:val="apple-converted-space"/>
          <w:rFonts w:ascii="Cambria" w:hAnsi="Cambria"/>
          <w:color w:val="222222"/>
          <w:shd w:val="clear" w:color="auto" w:fill="FFFFFF"/>
        </w:rPr>
        <w:t> </w:t>
      </w:r>
      <w:r w:rsidRPr="00B345B3">
        <w:rPr>
          <w:rFonts w:ascii="Cambria" w:hAnsi="Cambria"/>
          <w:i/>
          <w:iCs/>
          <w:color w:val="222222"/>
        </w:rPr>
        <w:t>Media Practice and Education</w:t>
      </w:r>
      <w:r w:rsidRPr="00B345B3">
        <w:rPr>
          <w:rFonts w:ascii="Cambria" w:hAnsi="Cambria"/>
          <w:color w:val="222222"/>
          <w:shd w:val="clear" w:color="auto" w:fill="FFFFFF"/>
        </w:rPr>
        <w:t>, 1-16.</w:t>
      </w:r>
      <w:r w:rsidRPr="00F65D7D">
        <w:t xml:space="preserve"> </w:t>
      </w:r>
      <w:hyperlink r:id="rId12" w:history="1">
        <w:r w:rsidRPr="00804B6F">
          <w:rPr>
            <w:rStyle w:val="-"/>
            <w:rFonts w:ascii="Cambria" w:hAnsi="Cambria"/>
            <w:shd w:val="clear" w:color="auto" w:fill="FFFFFF"/>
          </w:rPr>
          <w:t>https://doi.org/10.1080/257</w:t>
        </w:r>
        <w:r w:rsidRPr="00804B6F">
          <w:rPr>
            <w:rStyle w:val="-"/>
            <w:rFonts w:ascii="Cambria" w:hAnsi="Cambria"/>
            <w:shd w:val="clear" w:color="auto" w:fill="FFFFFF"/>
          </w:rPr>
          <w:t>4</w:t>
        </w:r>
        <w:r w:rsidRPr="00804B6F">
          <w:rPr>
            <w:rStyle w:val="-"/>
            <w:rFonts w:ascii="Cambria" w:hAnsi="Cambria"/>
            <w:shd w:val="clear" w:color="auto" w:fill="FFFFFF"/>
          </w:rPr>
          <w:t>1136.2025.2463202</w:t>
        </w:r>
      </w:hyperlink>
      <w:r>
        <w:rPr>
          <w:rFonts w:ascii="Cambria" w:hAnsi="Cambria"/>
          <w:color w:val="222222"/>
          <w:shd w:val="clear" w:color="auto" w:fill="FFFFFF"/>
        </w:rPr>
        <w:t xml:space="preserve"> </w:t>
      </w:r>
    </w:p>
    <w:p w:rsidR="00155383" w:rsidRPr="00B4231D" w:rsidRDefault="00155383" w:rsidP="00FB45EE">
      <w:pPr>
        <w:numPr>
          <w:ilvl w:val="0"/>
          <w:numId w:val="4"/>
        </w:numPr>
        <w:spacing w:after="204" w:line="360" w:lineRule="auto"/>
        <w:ind w:right="46"/>
        <w:jc w:val="both"/>
        <w:rPr>
          <w:rFonts w:ascii="Cambria" w:hAnsi="Cambria" w:cstheme="minorHAnsi"/>
        </w:rPr>
      </w:pPr>
      <w:proofErr w:type="spellStart"/>
      <w:r w:rsidRPr="00B345B3">
        <w:rPr>
          <w:rFonts w:ascii="Cambria" w:hAnsi="Cambria" w:cstheme="minorHAnsi"/>
        </w:rPr>
        <w:t>Τheodosiadou</w:t>
      </w:r>
      <w:proofErr w:type="spellEnd"/>
      <w:r w:rsidRPr="00B345B3">
        <w:rPr>
          <w:rFonts w:ascii="Cambria" w:hAnsi="Cambria" w:cstheme="minorHAnsi"/>
        </w:rPr>
        <w:t xml:space="preserve"> S. </w:t>
      </w:r>
      <w:r w:rsidRPr="00C174B7">
        <w:rPr>
          <w:rFonts w:ascii="Cambria" w:hAnsi="Cambria" w:cstheme="minorHAnsi"/>
        </w:rPr>
        <w:t>(2024)</w:t>
      </w:r>
      <w:r w:rsidRPr="00B345B3">
        <w:rPr>
          <w:rFonts w:ascii="Cambria" w:hAnsi="Cambria" w:cstheme="minorHAnsi"/>
        </w:rPr>
        <w:t xml:space="preserve"> </w:t>
      </w:r>
      <w:r w:rsidRPr="00B345B3">
        <w:rPr>
          <w:rFonts w:ascii="Cambria" w:hAnsi="Cambria"/>
        </w:rPr>
        <w:t xml:space="preserve">The Emergence of School Podcasting in Times of crisis: A Case Study of a Preschool Podcast during COVID -19, GRAMMA: Journal of Theory and Criticism, </w:t>
      </w:r>
      <w:hyperlink r:id="rId13" w:history="1">
        <w:r w:rsidRPr="00B345B3">
          <w:rPr>
            <w:rStyle w:val="-"/>
            <w:rFonts w:ascii="Cambria" w:hAnsi="Cambria"/>
          </w:rPr>
          <w:t>https://ejournals.lib.auth.gr/gramma/article/view/10270</w:t>
        </w:r>
      </w:hyperlink>
      <w:r w:rsidRPr="00B345B3">
        <w:rPr>
          <w:rFonts w:ascii="Cambria" w:hAnsi="Cambria"/>
        </w:rPr>
        <w:t xml:space="preserve"> </w:t>
      </w:r>
    </w:p>
    <w:p w:rsidR="00B4231D" w:rsidRPr="0005030B" w:rsidRDefault="00B4231D" w:rsidP="00B4231D">
      <w:pPr>
        <w:spacing w:after="204" w:line="360" w:lineRule="auto"/>
        <w:ind w:right="46"/>
        <w:jc w:val="both"/>
        <w:rPr>
          <w:rFonts w:ascii="Cambria" w:hAnsi="Cambria"/>
          <w:b/>
          <w:bCs/>
        </w:rPr>
      </w:pPr>
    </w:p>
    <w:p w:rsidR="00B4231D" w:rsidRPr="0005030B" w:rsidRDefault="00B4231D" w:rsidP="00B4231D">
      <w:pPr>
        <w:spacing w:after="204" w:line="360" w:lineRule="auto"/>
        <w:ind w:right="46"/>
        <w:jc w:val="both"/>
        <w:rPr>
          <w:rFonts w:ascii="Cambria" w:hAnsi="Cambria" w:cstheme="minorHAnsi"/>
          <w:b/>
          <w:bCs/>
          <w:lang w:val="el-GR"/>
        </w:rPr>
      </w:pPr>
      <w:r w:rsidRPr="0005030B">
        <w:rPr>
          <w:rFonts w:ascii="Cambria" w:hAnsi="Cambria" w:cstheme="minorHAnsi"/>
          <w:b/>
          <w:bCs/>
          <w:lang w:val="el-GR"/>
        </w:rPr>
        <w:t xml:space="preserve">Ελληνόγλωσση βιβλιογραφία </w:t>
      </w:r>
    </w:p>
    <w:p w:rsidR="00B4231D" w:rsidRPr="0005030B" w:rsidRDefault="00B4231D" w:rsidP="0005030B">
      <w:pPr>
        <w:pStyle w:val="a3"/>
        <w:numPr>
          <w:ilvl w:val="0"/>
          <w:numId w:val="6"/>
        </w:numPr>
        <w:spacing w:line="360" w:lineRule="auto"/>
        <w:jc w:val="both"/>
        <w:rPr>
          <w:rFonts w:ascii="Cambria" w:hAnsi="Cambria" w:cs="Tahoma"/>
          <w:noProof/>
          <w:lang w:val="el-GR"/>
        </w:rPr>
      </w:pPr>
      <w:r w:rsidRPr="0005030B">
        <w:rPr>
          <w:rFonts w:ascii="Cambria" w:hAnsi="Cambria" w:cs="Tahoma"/>
          <w:noProof/>
          <w:lang w:val="el-GR"/>
        </w:rPr>
        <w:t xml:space="preserve">Βρύζας Κ. &amp;Τσιτουρίδου Μ. (2014) Νέοι και τεχνολογίες της επικοινωνίας, Εκδόσεις Gutenberg. </w:t>
      </w:r>
    </w:p>
    <w:p w:rsidR="00B4231D" w:rsidRPr="0005030B" w:rsidRDefault="00B4231D" w:rsidP="0005030B">
      <w:pPr>
        <w:pStyle w:val="a3"/>
        <w:widowControl w:val="0"/>
        <w:numPr>
          <w:ilvl w:val="0"/>
          <w:numId w:val="6"/>
        </w:numPr>
        <w:spacing w:line="360" w:lineRule="auto"/>
        <w:jc w:val="both"/>
        <w:rPr>
          <w:rFonts w:ascii="Cambria" w:hAnsi="Cambria"/>
        </w:rPr>
      </w:pPr>
      <w:r w:rsidRPr="0005030B">
        <w:rPr>
          <w:rFonts w:ascii="Cambria" w:hAnsi="Cambria"/>
          <w:lang w:val="el-GR"/>
        </w:rPr>
        <w:t>Θεοδοσιάδου, Σ., &amp; Παναγιώτου, Ν. (</w:t>
      </w:r>
      <w:proofErr w:type="spellStart"/>
      <w:r w:rsidRPr="0005030B">
        <w:rPr>
          <w:rFonts w:ascii="Cambria" w:hAnsi="Cambria"/>
          <w:lang w:val="el-GR"/>
        </w:rPr>
        <w:t>Επιμ</w:t>
      </w:r>
      <w:proofErr w:type="spellEnd"/>
      <w:r w:rsidRPr="0005030B">
        <w:rPr>
          <w:rFonts w:ascii="Cambria" w:hAnsi="Cambria"/>
          <w:lang w:val="el-GR"/>
        </w:rPr>
        <w:t xml:space="preserve">.)(υπό έκδοση) </w:t>
      </w:r>
      <w:r w:rsidRPr="0005030B">
        <w:rPr>
          <w:rFonts w:ascii="Cambria" w:hAnsi="Cambria"/>
          <w:b/>
          <w:lang w:val="el-GR"/>
        </w:rPr>
        <w:t xml:space="preserve">(2026). </w:t>
      </w:r>
      <w:r w:rsidRPr="0005030B">
        <w:rPr>
          <w:rFonts w:ascii="Cambria" w:hAnsi="Cambria"/>
          <w:i/>
          <w:lang w:val="el-GR"/>
        </w:rPr>
        <w:t xml:space="preserve">Κριτική σκέψη και ΜΜΕ. </w:t>
      </w:r>
      <w:proofErr w:type="spellStart"/>
      <w:r w:rsidRPr="0005030B">
        <w:rPr>
          <w:rFonts w:ascii="Cambria" w:hAnsi="Cambria"/>
          <w:iCs/>
          <w:lang w:val="el-GR"/>
        </w:rPr>
        <w:t>Γραμματισμός</w:t>
      </w:r>
      <w:proofErr w:type="spellEnd"/>
      <w:r w:rsidRPr="0005030B">
        <w:rPr>
          <w:rFonts w:ascii="Cambria" w:hAnsi="Cambria"/>
          <w:iCs/>
          <w:lang w:val="el-GR"/>
        </w:rPr>
        <w:t xml:space="preserve"> στα ΜΜΕ στην ψηφιακή εποχή. Μετάφραση</w:t>
      </w:r>
      <w:r w:rsidRPr="0005030B">
        <w:rPr>
          <w:rFonts w:ascii="Cambria" w:hAnsi="Cambria"/>
          <w:iCs/>
        </w:rPr>
        <w:t xml:space="preserve"> </w:t>
      </w:r>
      <w:r w:rsidRPr="0005030B">
        <w:rPr>
          <w:rFonts w:ascii="Cambria" w:hAnsi="Cambria"/>
          <w:iCs/>
          <w:lang w:val="el-GR"/>
        </w:rPr>
        <w:t>του</w:t>
      </w:r>
      <w:r w:rsidRPr="0005030B">
        <w:rPr>
          <w:rFonts w:ascii="Cambria" w:hAnsi="Cambria"/>
          <w:iCs/>
        </w:rPr>
        <w:t xml:space="preserve"> </w:t>
      </w:r>
      <w:r w:rsidRPr="0005030B">
        <w:rPr>
          <w:rFonts w:ascii="Cambria" w:hAnsi="Cambria"/>
          <w:iCs/>
          <w:lang w:val="el-GR"/>
        </w:rPr>
        <w:t>βιβλίου</w:t>
      </w:r>
      <w:r w:rsidRPr="0005030B">
        <w:rPr>
          <w:rFonts w:ascii="Cambria" w:hAnsi="Cambria"/>
          <w:iCs/>
        </w:rPr>
        <w:t xml:space="preserve"> </w:t>
      </w:r>
      <w:r w:rsidRPr="0005030B">
        <w:rPr>
          <w:rFonts w:ascii="Cambria" w:hAnsi="Cambria"/>
          <w:iCs/>
          <w:lang w:val="el-GR"/>
        </w:rPr>
        <w:t>της</w:t>
      </w:r>
      <w:r w:rsidRPr="0005030B">
        <w:rPr>
          <w:rFonts w:ascii="Cambria" w:hAnsi="Cambria"/>
          <w:iCs/>
        </w:rPr>
        <w:t xml:space="preserve"> </w:t>
      </w:r>
      <w:proofErr w:type="spellStart"/>
      <w:r w:rsidRPr="0005030B">
        <w:rPr>
          <w:rFonts w:ascii="Cambria" w:hAnsi="Cambria"/>
          <w:iCs/>
        </w:rPr>
        <w:t>Renne</w:t>
      </w:r>
      <w:proofErr w:type="spellEnd"/>
      <w:r w:rsidRPr="0005030B">
        <w:rPr>
          <w:rFonts w:ascii="Cambria" w:hAnsi="Cambria"/>
          <w:iCs/>
        </w:rPr>
        <w:t xml:space="preserve"> Hobbs,</w:t>
      </w:r>
      <w:r w:rsidRPr="0005030B">
        <w:rPr>
          <w:rFonts w:ascii="Cambria" w:hAnsi="Cambria"/>
          <w:i/>
        </w:rPr>
        <w:t xml:space="preserve"> Mind over Media, </w:t>
      </w:r>
      <w:r w:rsidRPr="0005030B">
        <w:rPr>
          <w:rFonts w:ascii="Cambria" w:hAnsi="Cambria" w:cs="Tahoma"/>
          <w:noProof/>
        </w:rPr>
        <w:t>Propaganda education for a digital age.</w:t>
      </w:r>
      <w:r w:rsidRPr="0005030B">
        <w:rPr>
          <w:rFonts w:ascii="Cambria" w:hAnsi="Cambria"/>
          <w:iCs/>
          <w:lang w:val="el-GR"/>
        </w:rPr>
        <w:t>Εκδόσεις</w:t>
      </w:r>
      <w:r w:rsidRPr="0005030B">
        <w:rPr>
          <w:rFonts w:ascii="Cambria" w:hAnsi="Cambria"/>
          <w:iCs/>
        </w:rPr>
        <w:t xml:space="preserve"> </w:t>
      </w:r>
      <w:r w:rsidRPr="0005030B">
        <w:rPr>
          <w:rFonts w:ascii="Cambria" w:hAnsi="Cambria"/>
          <w:lang w:val="el-GR"/>
        </w:rPr>
        <w:t>Σοφία</w:t>
      </w:r>
      <w:r w:rsidRPr="0005030B">
        <w:rPr>
          <w:rFonts w:ascii="Cambria" w:hAnsi="Cambria"/>
        </w:rPr>
        <w:t>. ISBN: 978-960-633-114-5</w:t>
      </w:r>
      <w:r w:rsidRPr="0005030B">
        <w:rPr>
          <w:rFonts w:ascii="Cambria" w:hAnsi="Cambria" w:cs="Tahoma"/>
          <w:noProof/>
        </w:rPr>
        <w:t xml:space="preserve"> </w:t>
      </w:r>
    </w:p>
    <w:p w:rsidR="00FB45EE" w:rsidRPr="009444E6" w:rsidRDefault="00FB45EE" w:rsidP="0005030B">
      <w:pPr>
        <w:pStyle w:val="a3"/>
        <w:spacing w:line="360" w:lineRule="auto"/>
        <w:jc w:val="both"/>
        <w:rPr>
          <w:rFonts w:ascii="Cambria" w:hAnsi="Cambria" w:cs="Tahoma"/>
          <w:noProof/>
        </w:rPr>
      </w:pPr>
    </w:p>
    <w:sectPr w:rsidR="00FB45EE" w:rsidRPr="009444E6" w:rsidSect="001E5C04">
      <w:footerReference w:type="even" r:id="rId14"/>
      <w:footerReference w:type="default" r:id="rId15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5254C" w:rsidRDefault="00E5254C" w:rsidP="001C1492">
      <w:r>
        <w:separator/>
      </w:r>
    </w:p>
  </w:endnote>
  <w:endnote w:type="continuationSeparator" w:id="0">
    <w:p w:rsidR="00E5254C" w:rsidRDefault="00E5254C" w:rsidP="001C1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498114334"/>
      <w:docPartObj>
        <w:docPartGallery w:val="Page Numbers (Bottom of Page)"/>
        <w:docPartUnique/>
      </w:docPartObj>
    </w:sdtPr>
    <w:sdtContent>
      <w:p w:rsidR="001C1492" w:rsidRDefault="001C1492" w:rsidP="00804B6F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1C1492" w:rsidRDefault="001C1492" w:rsidP="001C149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897746723"/>
      <w:docPartObj>
        <w:docPartGallery w:val="Page Numbers (Bottom of Page)"/>
        <w:docPartUnique/>
      </w:docPartObj>
    </w:sdtPr>
    <w:sdtContent>
      <w:p w:rsidR="001C1492" w:rsidRDefault="001C1492" w:rsidP="00804B6F">
        <w:pPr>
          <w:pStyle w:val="a4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1C1492" w:rsidRDefault="001C1492" w:rsidP="001C149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5254C" w:rsidRDefault="00E5254C" w:rsidP="001C1492">
      <w:r>
        <w:separator/>
      </w:r>
    </w:p>
  </w:footnote>
  <w:footnote w:type="continuationSeparator" w:id="0">
    <w:p w:rsidR="00E5254C" w:rsidRDefault="00E5254C" w:rsidP="001C1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1284D"/>
    <w:multiLevelType w:val="hybridMultilevel"/>
    <w:tmpl w:val="7A28E97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142BB"/>
    <w:multiLevelType w:val="hybridMultilevel"/>
    <w:tmpl w:val="A37C555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765A7B"/>
    <w:multiLevelType w:val="hybridMultilevel"/>
    <w:tmpl w:val="7286DA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97A02"/>
    <w:multiLevelType w:val="hybridMultilevel"/>
    <w:tmpl w:val="C24427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C341D"/>
    <w:multiLevelType w:val="hybridMultilevel"/>
    <w:tmpl w:val="36B2D340"/>
    <w:lvl w:ilvl="0" w:tplc="EA6E1A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85814"/>
    <w:multiLevelType w:val="multilevel"/>
    <w:tmpl w:val="67A4547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868566811">
    <w:abstractNumId w:val="0"/>
  </w:num>
  <w:num w:numId="2" w16cid:durableId="25496622">
    <w:abstractNumId w:val="4"/>
  </w:num>
  <w:num w:numId="3" w16cid:durableId="1362172970">
    <w:abstractNumId w:val="2"/>
  </w:num>
  <w:num w:numId="4" w16cid:durableId="977299128">
    <w:abstractNumId w:val="3"/>
  </w:num>
  <w:num w:numId="5" w16cid:durableId="1979141047">
    <w:abstractNumId w:val="5"/>
  </w:num>
  <w:num w:numId="6" w16cid:durableId="84482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9D"/>
    <w:rsid w:val="0004239D"/>
    <w:rsid w:val="0005030B"/>
    <w:rsid w:val="00062A38"/>
    <w:rsid w:val="00155383"/>
    <w:rsid w:val="001C1492"/>
    <w:rsid w:val="001E5C04"/>
    <w:rsid w:val="002E236D"/>
    <w:rsid w:val="00322E93"/>
    <w:rsid w:val="003B58D9"/>
    <w:rsid w:val="005B2534"/>
    <w:rsid w:val="00617682"/>
    <w:rsid w:val="006B0EBB"/>
    <w:rsid w:val="00883F9D"/>
    <w:rsid w:val="009444E6"/>
    <w:rsid w:val="00956486"/>
    <w:rsid w:val="009B7B14"/>
    <w:rsid w:val="009F40F4"/>
    <w:rsid w:val="00A70C0D"/>
    <w:rsid w:val="00B4231D"/>
    <w:rsid w:val="00C174B7"/>
    <w:rsid w:val="00D10089"/>
    <w:rsid w:val="00D96CDA"/>
    <w:rsid w:val="00E5254C"/>
    <w:rsid w:val="00EB31BF"/>
    <w:rsid w:val="00F84B27"/>
    <w:rsid w:val="00FA0E66"/>
    <w:rsid w:val="00FB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58985D"/>
  <w15:chartTrackingRefBased/>
  <w15:docId w15:val="{C329521B-CF70-BA46-AC5D-C7949F5A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9D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4E6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1C1492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uiPriority w:val="99"/>
    <w:rsid w:val="001C1492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a5">
    <w:name w:val="page number"/>
    <w:basedOn w:val="a0"/>
    <w:uiPriority w:val="99"/>
    <w:semiHidden/>
    <w:unhideWhenUsed/>
    <w:rsid w:val="001C1492"/>
  </w:style>
  <w:style w:type="character" w:styleId="-">
    <w:name w:val="Hyperlink"/>
    <w:basedOn w:val="a0"/>
    <w:uiPriority w:val="99"/>
    <w:unhideWhenUsed/>
    <w:rsid w:val="00FB45E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B45E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FB45EE"/>
  </w:style>
  <w:style w:type="paragraph" w:styleId="a7">
    <w:name w:val="Bibliography"/>
    <w:basedOn w:val="a"/>
    <w:next w:val="a"/>
    <w:uiPriority w:val="37"/>
    <w:unhideWhenUsed/>
    <w:rsid w:val="00956486"/>
  </w:style>
  <w:style w:type="character" w:styleId="-0">
    <w:name w:val="FollowedHyperlink"/>
    <w:basedOn w:val="a0"/>
    <w:uiPriority w:val="99"/>
    <w:semiHidden/>
    <w:unhideWhenUsed/>
    <w:rsid w:val="00C174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okings.edu/wp-content/uploads/2016/07/Klurfeld-Schneider_News-Literacy_June-2014.pdf" TargetMode="External"/><Relationship Id="rId13" Type="http://schemas.openxmlformats.org/officeDocument/2006/relationships/hyperlink" Target="https://ejournals.lib.auth.gr/gramma/article/view/102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ews.bbc.co.uk/2/hi/school_report" TargetMode="External"/><Relationship Id="rId12" Type="http://schemas.openxmlformats.org/officeDocument/2006/relationships/hyperlink" Target="https://doi.org/10.1080/25741136.2025.246320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11/j.1099-0860.2008.00180.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jodml.org/author/sofi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0826-020-01724-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633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Θεοδοσιάδου</dc:creator>
  <cp:keywords/>
  <dc:description/>
  <cp:lastModifiedBy>Σοφία Θεοδοσιάδου</cp:lastModifiedBy>
  <cp:revision>28</cp:revision>
  <dcterms:created xsi:type="dcterms:W3CDTF">2026-05-18T09:10:00Z</dcterms:created>
  <dcterms:modified xsi:type="dcterms:W3CDTF">2026-05-18T09:39:00Z</dcterms:modified>
</cp:coreProperties>
</file>